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C72" w:rsidRPr="00090C72" w:rsidRDefault="00090C72" w:rsidP="005E6B05">
      <w:pPr>
        <w:spacing w:after="0"/>
        <w:rPr>
          <w:b/>
        </w:rPr>
      </w:pPr>
      <w:r w:rsidRPr="00090C72">
        <w:rPr>
          <w:b/>
        </w:rPr>
        <w:t>Instrukcja montażu wystawy „Po Wielkiej Wojnie”</w:t>
      </w:r>
      <w:r>
        <w:rPr>
          <w:b/>
        </w:rPr>
        <w:t xml:space="preserve"> – 29.08.2018 r.</w:t>
      </w:r>
    </w:p>
    <w:p w:rsidR="00090C72" w:rsidRDefault="00090C72" w:rsidP="005E6B05">
      <w:pPr>
        <w:spacing w:after="0"/>
      </w:pPr>
    </w:p>
    <w:p w:rsidR="00B2676F" w:rsidRDefault="00316CFC" w:rsidP="005E6B05">
      <w:pPr>
        <w:pStyle w:val="Akapitzlist"/>
        <w:numPr>
          <w:ilvl w:val="0"/>
          <w:numId w:val="1"/>
        </w:numPr>
        <w:spacing w:after="0"/>
      </w:pPr>
      <w:r>
        <w:t>Konstrukcja rusztowania</w:t>
      </w:r>
    </w:p>
    <w:p w:rsidR="00316CFC" w:rsidRDefault="00316CFC" w:rsidP="00316CFC">
      <w:r>
        <w:t>Konstrukcję rusztowania wykonać wg załączonego rysunku konstrukcji („</w:t>
      </w:r>
      <w:r w:rsidR="009F5B89">
        <w:t>01_</w:t>
      </w:r>
      <w:r>
        <w:t xml:space="preserve">Rysunki konstrukcji rusztowania”). </w:t>
      </w:r>
    </w:p>
    <w:p w:rsidR="00316CFC" w:rsidRDefault="009F5B89" w:rsidP="005E6B05">
      <w:pPr>
        <w:pStyle w:val="Akapitzlist"/>
        <w:numPr>
          <w:ilvl w:val="0"/>
          <w:numId w:val="1"/>
        </w:numPr>
        <w:spacing w:after="0"/>
      </w:pPr>
      <w:r>
        <w:t>Ś</w:t>
      </w:r>
      <w:r w:rsidR="00316CFC">
        <w:t>cian</w:t>
      </w:r>
      <w:r>
        <w:t>y</w:t>
      </w:r>
      <w:r w:rsidR="00316CFC">
        <w:t xml:space="preserve"> i taśm</w:t>
      </w:r>
      <w:r>
        <w:t>y górne</w:t>
      </w:r>
    </w:p>
    <w:p w:rsidR="009F5B89" w:rsidRDefault="00316CFC" w:rsidP="00316CFC">
      <w:r>
        <w:t>Ściany i taśmy górne montowane są wg rysunku: „</w:t>
      </w:r>
      <w:r w:rsidR="009F5B89">
        <w:t>02_</w:t>
      </w:r>
      <w:r>
        <w:t>Schemat mo</w:t>
      </w:r>
      <w:r w:rsidR="00581843">
        <w:t>c</w:t>
      </w:r>
      <w:r>
        <w:t xml:space="preserve">owania ścian”. Wsporniki mocowane są do konstrukcji rusztowania za pomocą obejm zaciskowych. Następnie do wsporników montowane są profile aluminiowe </w:t>
      </w:r>
      <w:proofErr w:type="spellStart"/>
      <w:r>
        <w:t>podkonstrukcji</w:t>
      </w:r>
      <w:proofErr w:type="spellEnd"/>
      <w:r>
        <w:t xml:space="preserve"> – ustawiany jest poziom. Ostatnim etapem jest montaż samych paneli ścian, na których już są zamocowane wszystkie elementy interaktywne.</w:t>
      </w:r>
      <w:r w:rsidR="00581843">
        <w:t xml:space="preserve"> </w:t>
      </w:r>
      <w:r w:rsidR="009F5B89">
        <w:t xml:space="preserve">Wymiary i położenie elementów ścian górnych i dolnych wg. rysunku: „03_Rysunki ścian dolnych i górnych”. Ściany dolne w sekcjach o szerokości maksymalnej 145 cm (panele </w:t>
      </w:r>
      <w:proofErr w:type="spellStart"/>
      <w:r w:rsidR="009F5B89">
        <w:t>dibond</w:t>
      </w:r>
      <w:proofErr w:type="spellEnd"/>
      <w:r w:rsidR="009F5B89">
        <w:t xml:space="preserve"> 3mm na konstrukcji aluminiowej) oraz ściany górne w sekcjach maksymalnie 257 cm (siatka </w:t>
      </w:r>
      <w:proofErr w:type="spellStart"/>
      <w:r w:rsidR="009F5B89">
        <w:t>mesh</w:t>
      </w:r>
      <w:proofErr w:type="spellEnd"/>
      <w:r w:rsidR="009F5B89">
        <w:t xml:space="preserve"> na </w:t>
      </w:r>
      <w:proofErr w:type="spellStart"/>
      <w:r w:rsidR="009F5B89">
        <w:t>podkonstrukcji</w:t>
      </w:r>
      <w:proofErr w:type="spellEnd"/>
      <w:r w:rsidR="009F5B89">
        <w:t xml:space="preserve"> aluminiowej).</w:t>
      </w:r>
    </w:p>
    <w:p w:rsidR="009F5B89" w:rsidRDefault="009F5B89" w:rsidP="005E6B05">
      <w:pPr>
        <w:pStyle w:val="Akapitzlist"/>
        <w:numPr>
          <w:ilvl w:val="0"/>
          <w:numId w:val="1"/>
        </w:numPr>
        <w:spacing w:after="0"/>
      </w:pPr>
      <w:r>
        <w:t>Elementy interaktywne i meble</w:t>
      </w:r>
    </w:p>
    <w:p w:rsidR="00316CFC" w:rsidRDefault="00581843" w:rsidP="009F5B89">
      <w:r>
        <w:t xml:space="preserve">Wszystkie elementy interaktywne są </w:t>
      </w:r>
      <w:r w:rsidR="009F5B89">
        <w:t>za</w:t>
      </w:r>
      <w:r>
        <w:t>mocowane na stałe do ścian lub</w:t>
      </w:r>
      <w:r w:rsidR="009F5B89">
        <w:t xml:space="preserve"> montowane </w:t>
      </w:r>
      <w:r>
        <w:t>za pomocą śrub</w:t>
      </w:r>
      <w:r w:rsidR="009F5B89">
        <w:t xml:space="preserve"> (dotyczy to zarówno paneli ściennych jak i mebli)</w:t>
      </w:r>
      <w:r>
        <w:t>. Schematy elementów interaktywnych wg rysunków: „</w:t>
      </w:r>
      <w:r w:rsidR="009F5B89">
        <w:t>04_</w:t>
      </w:r>
      <w:r>
        <w:t xml:space="preserve">Schematy elementów interaktywnych”. </w:t>
      </w:r>
      <w:r w:rsidR="009F5B89">
        <w:t>Na wystawie znajduje się 5 mebli – 4 prostopadłościenne stoły</w:t>
      </w:r>
      <w:r w:rsidR="005E6B05">
        <w:t xml:space="preserve"> o podstawie trójkąta (rys.: 05_Ekspozytor wewnętrzny)</w:t>
      </w:r>
      <w:r w:rsidR="009F5B89">
        <w:t xml:space="preserve"> i jeden </w:t>
      </w:r>
      <w:proofErr w:type="spellStart"/>
      <w:r w:rsidR="009F5B89">
        <w:t>ekspozytor</w:t>
      </w:r>
      <w:proofErr w:type="spellEnd"/>
      <w:r w:rsidR="009F5B89">
        <w:t xml:space="preserve"> zewnętrzny składanych z dwóch części</w:t>
      </w:r>
      <w:r w:rsidR="005E6B05">
        <w:t xml:space="preserve"> (rys.: 06_Ekspozytor zewnętrzny)</w:t>
      </w:r>
      <w:r w:rsidR="009F5B89">
        <w:t>.</w:t>
      </w:r>
      <w:r w:rsidR="005E6B05">
        <w:t xml:space="preserve"> </w:t>
      </w:r>
    </w:p>
    <w:p w:rsidR="005E6B05" w:rsidRDefault="005E6B05" w:rsidP="00090C72">
      <w:pPr>
        <w:pStyle w:val="Akapitzlist"/>
        <w:numPr>
          <w:ilvl w:val="0"/>
          <w:numId w:val="1"/>
        </w:numPr>
        <w:spacing w:after="0"/>
      </w:pPr>
      <w:r>
        <w:t>Montaż zasilania i oświetlenia</w:t>
      </w:r>
    </w:p>
    <w:p w:rsidR="005E6B05" w:rsidRDefault="004B3C93" w:rsidP="005E6B05">
      <w:r>
        <w:t xml:space="preserve">Umieszczenie rozdzielni w wyznaczonym miejscu w przestrzeni między panelami ściennymi. Rozdzielnia wyposażona w oddzielne obwody dla multimediów i oświetlenia. Do rozdzielni doprowadza się prąd bezpośrednio z lokalnego (w danym miejscu montażu) punktu zasilania w energię elektryczną. W przestrzeni miedzy panelami ściennymi rozprowadzić przewód z gniazdami do zasilenia multimediów i oświetlenia. Elementy multimedialne 5 szt. podłączone do oddzielnego obwodu niż oświetlenie. </w:t>
      </w:r>
      <w:r w:rsidR="005E6B05">
        <w:t>Oprawy oświetleniowe na belkach z profili aluminiowych mocowane na wspornikach do konstrukcji rusztowania (analogicznie do system</w:t>
      </w:r>
      <w:r>
        <w:t>u moc</w:t>
      </w:r>
      <w:r w:rsidR="005E6B05">
        <w:t>owania ścian).</w:t>
      </w:r>
      <w:r>
        <w:t xml:space="preserve"> Należy umieścić większość lamp (ok. 50 szt.) na belkach</w:t>
      </w:r>
      <w:r w:rsidR="005E6B05">
        <w:t xml:space="preserve"> </w:t>
      </w:r>
      <w:r>
        <w:t xml:space="preserve">nośnych z profili aluminiowych wg. rys.: „07_Rozmieszczenie oświetlenia”. Lampy wyposażone w kable z wtyczkami, które należy umieścić w korytach wsporników. Wtyczki podłączyć do gniazd znajdujących się w przestrzeni między panelami (przewód zasilający). Schemat tras wg oddzielnego rysunku (nie załączony). </w:t>
      </w:r>
      <w:proofErr w:type="spellStart"/>
      <w:r>
        <w:t>Ekspozytor</w:t>
      </w:r>
      <w:proofErr w:type="spellEnd"/>
      <w:r>
        <w:t xml:space="preserve"> zewnętrzny zasilony w analogiczny sposób przewodem wyprowadzonym bezpośrednio z rozdzielni i zabezpieczonym najazdami. </w:t>
      </w:r>
      <w:r w:rsidR="00862F60">
        <w:t xml:space="preserve">Wszystkie połączenia fabrycznie </w:t>
      </w:r>
      <w:proofErr w:type="spellStart"/>
      <w:r w:rsidR="00862F60">
        <w:t>wodooporne</w:t>
      </w:r>
      <w:proofErr w:type="spellEnd"/>
      <w:r w:rsidR="00862F60">
        <w:t xml:space="preserve"> (z wyłączeniem podłączenia z lokalnego punktu zasilania). Wszystkie elementy multimedialne oraz oświetlenie nie wymaga obsługi ani uruchomienia za wyjątkiem włączenia obwodów w rozdzielni. Wszystkie multimedia uruchamiają się samoczynnie po podaniu prądu. Uziemić konstrukcję rusztowania za pomocą przygotowanego bagnetu lub w punkcie poboru</w:t>
      </w:r>
      <w:r w:rsidR="00090C72">
        <w:t xml:space="preserve"> prądu za pomocą przewodu uziemiającego.</w:t>
      </w:r>
    </w:p>
    <w:p w:rsidR="005E6B05" w:rsidRDefault="00862F60" w:rsidP="00090C72">
      <w:pPr>
        <w:pStyle w:val="Akapitzlist"/>
        <w:numPr>
          <w:ilvl w:val="0"/>
          <w:numId w:val="1"/>
        </w:numPr>
        <w:spacing w:after="0"/>
      </w:pPr>
      <w:r>
        <w:t>Prace końcowe</w:t>
      </w:r>
    </w:p>
    <w:p w:rsidR="00090C72" w:rsidRDefault="00862F60" w:rsidP="00090C72">
      <w:r>
        <w:t>Uporządkowanie placu montażu (usunięcie śmieci, umieszczenie zbędnych elementów w przestrzeni miedzy panelami ściennymi). Sprawdzić działanie elementów multimedialnych, zasilenie w obwodzie oświetleniowym, ocenić wizualnie prawidłowość zamontowania wszystkich elementów wystawy.</w:t>
      </w:r>
    </w:p>
    <w:p w:rsidR="00090C72" w:rsidRDefault="00090C72" w:rsidP="00090C72"/>
    <w:p w:rsidR="00090C72" w:rsidRDefault="00090C72" w:rsidP="00090C72">
      <w:bookmarkStart w:id="0" w:name="_GoBack"/>
      <w:bookmarkEnd w:id="0"/>
    </w:p>
    <w:p w:rsidR="005E6B05" w:rsidRDefault="005E6B05" w:rsidP="00090C72">
      <w:pPr>
        <w:pStyle w:val="Akapitzlist"/>
        <w:numPr>
          <w:ilvl w:val="0"/>
          <w:numId w:val="1"/>
        </w:numPr>
        <w:spacing w:after="0"/>
      </w:pPr>
      <w:r>
        <w:lastRenderedPageBreak/>
        <w:t>Demontaż</w:t>
      </w:r>
    </w:p>
    <w:p w:rsidR="005E6B05" w:rsidRDefault="005E6B05" w:rsidP="005E6B05">
      <w:r>
        <w:t>Demontaż przeprowadzać w kolejności odwrotnej w stosunku do kolejności montażu.</w:t>
      </w:r>
      <w:r w:rsidR="00090C72">
        <w:t xml:space="preserve"> Przed rozpoczęciem demontażu należy zweryfikować stan techniczny wystawy i sporządzić listę ewentualnych usterek.</w:t>
      </w:r>
    </w:p>
    <w:p w:rsidR="005E6B05" w:rsidRDefault="005E6B05" w:rsidP="005E6B05">
      <w:r>
        <w:t>Uwaga: Wymiana wersji językowej polega na usunięciu ok. 30 m2 naklejek z tekstami (w różnych wielkościach), wyczyszczenie powierzchni i naklejenie nowej wersji językowej w tych samych miejscach. Wydruk tekstów na folii samoprzylepnej. Podłoże folia laminowana.</w:t>
      </w:r>
    </w:p>
    <w:p w:rsidR="005E6B05" w:rsidRDefault="005E6B05" w:rsidP="005E6B05">
      <w:r>
        <w:t xml:space="preserve">Uwaga: </w:t>
      </w:r>
      <w:proofErr w:type="spellStart"/>
      <w:r>
        <w:t>Ekspozytor</w:t>
      </w:r>
      <w:proofErr w:type="spellEnd"/>
      <w:r>
        <w:t xml:space="preserve"> zewnętrzny stanowi jednocześnie magazyn paneli ściennych na czas transportu.</w:t>
      </w:r>
    </w:p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/>
    <w:p w:rsidR="009F5B89" w:rsidRDefault="009F5B89" w:rsidP="009F5B89">
      <w:r>
        <w:t>O</w:t>
      </w:r>
    </w:p>
    <w:sectPr w:rsidR="009F5B8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892" w:rsidRDefault="00712892" w:rsidP="00E23073">
      <w:pPr>
        <w:spacing w:after="0" w:line="240" w:lineRule="auto"/>
      </w:pPr>
      <w:r>
        <w:separator/>
      </w:r>
    </w:p>
  </w:endnote>
  <w:endnote w:type="continuationSeparator" w:id="0">
    <w:p w:rsidR="00712892" w:rsidRDefault="00712892" w:rsidP="00E23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1245612"/>
      <w:docPartObj>
        <w:docPartGallery w:val="Page Numbers (Bottom of Page)"/>
        <w:docPartUnique/>
      </w:docPartObj>
    </w:sdtPr>
    <w:sdtContent>
      <w:p w:rsidR="00E23073" w:rsidRDefault="00E230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23073" w:rsidRDefault="00E230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892" w:rsidRDefault="00712892" w:rsidP="00E23073">
      <w:pPr>
        <w:spacing w:after="0" w:line="240" w:lineRule="auto"/>
      </w:pPr>
      <w:r>
        <w:separator/>
      </w:r>
    </w:p>
  </w:footnote>
  <w:footnote w:type="continuationSeparator" w:id="0">
    <w:p w:rsidR="00712892" w:rsidRDefault="00712892" w:rsidP="00E23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A16E1"/>
    <w:multiLevelType w:val="hybridMultilevel"/>
    <w:tmpl w:val="EBD04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7F"/>
    <w:rsid w:val="0005597F"/>
    <w:rsid w:val="00090C72"/>
    <w:rsid w:val="00316CFC"/>
    <w:rsid w:val="004B3C93"/>
    <w:rsid w:val="00581843"/>
    <w:rsid w:val="005E6B05"/>
    <w:rsid w:val="00712892"/>
    <w:rsid w:val="00862F60"/>
    <w:rsid w:val="009F5B89"/>
    <w:rsid w:val="00B2676F"/>
    <w:rsid w:val="00E2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DBF540E-CD3C-40C3-8D2C-77367FD4A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6C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23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073"/>
  </w:style>
  <w:style w:type="paragraph" w:styleId="Stopka">
    <w:name w:val="footer"/>
    <w:basedOn w:val="Normalny"/>
    <w:link w:val="StopkaZnak"/>
    <w:uiPriority w:val="99"/>
    <w:unhideWhenUsed/>
    <w:rsid w:val="00E23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s.wiktorek</dc:creator>
  <cp:keywords/>
  <dc:description/>
  <cp:lastModifiedBy>s.wiktorek</cp:lastModifiedBy>
  <cp:revision>2</cp:revision>
  <dcterms:created xsi:type="dcterms:W3CDTF">2018-08-29T12:40:00Z</dcterms:created>
  <dcterms:modified xsi:type="dcterms:W3CDTF">2018-08-29T14:53:00Z</dcterms:modified>
</cp:coreProperties>
</file>